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C24C9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07928" w:rsidRPr="00560C42" w:rsidRDefault="00D07928" w:rsidP="00C24C9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63CF7" w:rsidRDefault="00863CF7" w:rsidP="00C24C90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D07928" w:rsidRPr="00863CF7" w:rsidRDefault="00D07928" w:rsidP="00C24C90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pl-PL"/>
        </w:rPr>
      </w:pPr>
      <w:r w:rsidRPr="00863CF7">
        <w:rPr>
          <w:rFonts w:eastAsia="Times New Roman" w:cs="Calibri"/>
          <w:b/>
          <w:sz w:val="36"/>
          <w:szCs w:val="36"/>
          <w:lang w:eastAsia="pl-PL"/>
        </w:rPr>
        <w:t>KLUCZ ODPOWIEDZI</w:t>
      </w:r>
    </w:p>
    <w:p w:rsidR="00863CF7" w:rsidRDefault="00863CF7" w:rsidP="00C24C90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</w:p>
    <w:p w:rsidR="00863CF7" w:rsidRPr="009874B8" w:rsidRDefault="00863CF7" w:rsidP="00C24C90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</w:p>
    <w:p w:rsidR="00D07928" w:rsidRPr="00863CF7" w:rsidRDefault="00D07928" w:rsidP="00863CF7">
      <w:pPr>
        <w:spacing w:after="240" w:line="360" w:lineRule="auto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D07928" w:rsidRPr="00863CF7" w:rsidRDefault="00D07928" w:rsidP="00863CF7">
      <w:pPr>
        <w:spacing w:after="240" w:line="360" w:lineRule="auto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D07928" w:rsidRPr="00863CF7" w:rsidRDefault="00D07928" w:rsidP="00863CF7">
      <w:pPr>
        <w:spacing w:after="240" w:line="360" w:lineRule="auto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>- Każdy inny zapis z “przekręceniem” czy „gubieniem” liter (np. zamiast „</w:t>
      </w:r>
      <w:r w:rsidR="00DF6878" w:rsidRPr="00863CF7">
        <w:rPr>
          <w:rFonts w:cs="Calibri"/>
          <w:i/>
          <w:sz w:val="28"/>
          <w:szCs w:val="28"/>
        </w:rPr>
        <w:t>traktatów akcesyjnych</w:t>
      </w:r>
      <w:r w:rsidRPr="00863CF7">
        <w:rPr>
          <w:rFonts w:cs="Calibri"/>
          <w:i/>
          <w:sz w:val="28"/>
          <w:szCs w:val="28"/>
        </w:rPr>
        <w:t>” – „</w:t>
      </w:r>
      <w:r w:rsidR="00DF6878" w:rsidRPr="00863CF7">
        <w:rPr>
          <w:rFonts w:cs="Calibri"/>
          <w:i/>
          <w:sz w:val="28"/>
          <w:szCs w:val="28"/>
        </w:rPr>
        <w:t xml:space="preserve">traktatów </w:t>
      </w:r>
      <w:proofErr w:type="spellStart"/>
      <w:r w:rsidR="00DF6878" w:rsidRPr="00863CF7">
        <w:rPr>
          <w:rFonts w:cs="Calibri"/>
          <w:i/>
          <w:sz w:val="28"/>
          <w:szCs w:val="28"/>
        </w:rPr>
        <w:t>aksecyjnych</w:t>
      </w:r>
      <w:proofErr w:type="spellEnd"/>
      <w:r w:rsidRPr="00863CF7">
        <w:rPr>
          <w:rFonts w:cs="Calibri"/>
          <w:i/>
          <w:sz w:val="28"/>
          <w:szCs w:val="28"/>
        </w:rPr>
        <w:t>” itp.) traktujemy jako odpowiedź błędną.</w:t>
      </w:r>
    </w:p>
    <w:p w:rsidR="00D07928" w:rsidRPr="00863CF7" w:rsidRDefault="00D07928" w:rsidP="00863CF7">
      <w:pPr>
        <w:spacing w:after="240" w:line="360" w:lineRule="auto"/>
        <w:jc w:val="both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D07928" w:rsidRPr="00863CF7" w:rsidRDefault="00D07928" w:rsidP="00863CF7">
      <w:pPr>
        <w:spacing w:after="240" w:line="360" w:lineRule="auto"/>
        <w:jc w:val="both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D07928" w:rsidRPr="00863CF7" w:rsidRDefault="00D07928" w:rsidP="00863CF7">
      <w:pPr>
        <w:spacing w:after="240" w:line="360" w:lineRule="auto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>- Każde skreślenie, poprawka i nieczytelna odpowiedź traktowane są jako odpowiedź błędna.</w:t>
      </w:r>
    </w:p>
    <w:p w:rsidR="00D07928" w:rsidRPr="00863CF7" w:rsidRDefault="00D07928" w:rsidP="00863CF7">
      <w:pPr>
        <w:spacing w:after="240" w:line="360" w:lineRule="auto"/>
        <w:rPr>
          <w:rFonts w:cs="Calibri"/>
          <w:i/>
          <w:sz w:val="28"/>
          <w:szCs w:val="28"/>
        </w:rPr>
      </w:pPr>
      <w:r w:rsidRPr="00863CF7">
        <w:rPr>
          <w:rFonts w:cs="Calibri"/>
          <w:i/>
          <w:sz w:val="28"/>
          <w:szCs w:val="28"/>
        </w:rPr>
        <w:t xml:space="preserve">- Przy zadaniach wielokrotnego wyboru (w zad. nr: </w:t>
      </w:r>
      <w:r w:rsidR="00DF6878" w:rsidRPr="00863CF7">
        <w:rPr>
          <w:rFonts w:cs="Calibri"/>
          <w:i/>
          <w:sz w:val="28"/>
          <w:szCs w:val="28"/>
        </w:rPr>
        <w:t>2 i 7</w:t>
      </w:r>
      <w:r w:rsidRPr="00863CF7">
        <w:rPr>
          <w:rFonts w:cs="Calibri"/>
          <w:i/>
          <w:sz w:val="28"/>
          <w:szCs w:val="28"/>
        </w:rPr>
        <w:t>):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D07928" w:rsidRPr="00863CF7" w:rsidRDefault="00D07928" w:rsidP="00863CF7">
      <w:pPr>
        <w:spacing w:after="240" w:line="240" w:lineRule="auto"/>
        <w:jc w:val="both"/>
        <w:rPr>
          <w:rFonts w:cs="Calibri"/>
          <w:i/>
          <w:sz w:val="32"/>
          <w:szCs w:val="32"/>
        </w:rPr>
      </w:pPr>
    </w:p>
    <w:p w:rsidR="00863CF7" w:rsidRPr="00863CF7" w:rsidRDefault="00863CF7" w:rsidP="00863CF7">
      <w:pPr>
        <w:spacing w:after="240" w:line="240" w:lineRule="auto"/>
        <w:jc w:val="both"/>
        <w:rPr>
          <w:rFonts w:cs="Calibri"/>
          <w:i/>
          <w:sz w:val="32"/>
          <w:szCs w:val="32"/>
        </w:rPr>
      </w:pPr>
    </w:p>
    <w:p w:rsidR="00D07928" w:rsidRPr="000E6300" w:rsidRDefault="00D07928" w:rsidP="00C24C90">
      <w:pPr>
        <w:spacing w:after="0" w:line="240" w:lineRule="auto"/>
        <w:jc w:val="both"/>
        <w:rPr>
          <w:bCs/>
          <w:i/>
          <w:sz w:val="24"/>
          <w:szCs w:val="24"/>
        </w:rPr>
      </w:pPr>
      <w:r w:rsidRPr="000E6300">
        <w:rPr>
          <w:rFonts w:cs="Calibri"/>
          <w:i/>
          <w:sz w:val="24"/>
          <w:szCs w:val="24"/>
        </w:rPr>
        <w:lastRenderedPageBreak/>
        <w:t>1/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="001E1E3E">
        <w:rPr>
          <w:bCs/>
          <w:i/>
          <w:sz w:val="24"/>
          <w:szCs w:val="24"/>
        </w:rPr>
        <w:tab/>
        <w:t>/6</w:t>
      </w:r>
    </w:p>
    <w:tbl>
      <w:tblPr>
        <w:tblStyle w:val="Tabela-Siatka"/>
        <w:tblW w:w="0" w:type="auto"/>
        <w:tblLayout w:type="fixed"/>
        <w:tblLook w:val="04A0"/>
      </w:tblPr>
      <w:tblGrid>
        <w:gridCol w:w="7905"/>
        <w:gridCol w:w="1027"/>
        <w:gridCol w:w="1028"/>
        <w:gridCol w:w="1028"/>
      </w:tblGrid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acquis communautaire</w:t>
            </w:r>
          </w:p>
        </w:tc>
        <w:tc>
          <w:tcPr>
            <w:tcW w:w="1027" w:type="dxa"/>
          </w:tcPr>
          <w:p w:rsidR="00C24C90" w:rsidRPr="0018094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1028" w:type="dxa"/>
          </w:tcPr>
          <w:p w:rsidR="00C24C90" w:rsidRPr="0018094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/>
                <w:b/>
                <w:bCs/>
                <w:sz w:val="24"/>
                <w:szCs w:val="24"/>
              </w:rPr>
              <w:t>Fałsz</w:t>
            </w:r>
          </w:p>
        </w:tc>
        <w:tc>
          <w:tcPr>
            <w:tcW w:w="1028" w:type="dxa"/>
          </w:tcPr>
          <w:p w:rsidR="00C24C90" w:rsidRPr="0018094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Ocena</w:t>
            </w:r>
          </w:p>
        </w:tc>
      </w:tr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a/ </w:t>
            </w:r>
            <w:r w:rsidR="00F02DC0" w:rsidRPr="0076502D">
              <w:rPr>
                <w:rFonts w:asciiTheme="minorHAnsi" w:hAnsiTheme="minorHAnsi"/>
                <w:bCs/>
                <w:sz w:val="24"/>
                <w:szCs w:val="24"/>
              </w:rPr>
              <w:t>Prawo pierwotne stanowią 3 kategorie traktatów</w:t>
            </w:r>
            <w:r w:rsidR="00F02DC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1027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pkt</w:t>
            </w:r>
          </w:p>
        </w:tc>
      </w:tr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b/ </w:t>
            </w:r>
            <w:r w:rsidR="00F02DC0">
              <w:rPr>
                <w:rFonts w:asciiTheme="minorHAnsi" w:hAnsiTheme="minorHAnsi"/>
                <w:bCs/>
                <w:sz w:val="24"/>
                <w:szCs w:val="24"/>
              </w:rPr>
              <w:t xml:space="preserve">Akty prawodawcze i </w:t>
            </w:r>
            <w:proofErr w:type="spellStart"/>
            <w:r w:rsidR="00F02DC0">
              <w:rPr>
                <w:rFonts w:asciiTheme="minorHAnsi" w:hAnsiTheme="minorHAnsi"/>
                <w:bCs/>
                <w:sz w:val="24"/>
                <w:szCs w:val="24"/>
              </w:rPr>
              <w:t>nieprawodawcze</w:t>
            </w:r>
            <w:proofErr w:type="spellEnd"/>
            <w:r w:rsidR="00F02DC0">
              <w:rPr>
                <w:rFonts w:asciiTheme="minorHAnsi" w:hAnsiTheme="minorHAnsi"/>
                <w:bCs/>
                <w:sz w:val="24"/>
                <w:szCs w:val="24"/>
              </w:rPr>
              <w:t xml:space="preserve"> wchodzą…</w:t>
            </w:r>
          </w:p>
        </w:tc>
        <w:tc>
          <w:tcPr>
            <w:tcW w:w="1027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pkt</w:t>
            </w:r>
          </w:p>
        </w:tc>
      </w:tr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c/ </w:t>
            </w:r>
            <w:r w:rsidRPr="00180940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180940">
              <w:rPr>
                <w:rFonts w:asciiTheme="minorHAnsi" w:hAnsiTheme="minorHAnsi"/>
                <w:iCs/>
                <w:sz w:val="24"/>
                <w:szCs w:val="24"/>
              </w:rPr>
              <w:t>acquis communautaire</w:t>
            </w:r>
            <w:r w:rsidRPr="00180940">
              <w:rPr>
                <w:rFonts w:asciiTheme="minorHAnsi" w:hAnsiTheme="minorHAnsi"/>
                <w:sz w:val="24"/>
                <w:szCs w:val="24"/>
              </w:rPr>
              <w:t xml:space="preserve"> składaj</w:t>
            </w:r>
            <w:r>
              <w:rPr>
                <w:rFonts w:asciiTheme="minorHAnsi" w:hAnsiTheme="minorHAnsi"/>
                <w:sz w:val="24"/>
                <w:szCs w:val="24"/>
              </w:rPr>
              <w:t>ą się postanowienia traktatowe...</w:t>
            </w:r>
          </w:p>
        </w:tc>
        <w:tc>
          <w:tcPr>
            <w:tcW w:w="1027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pkt</w:t>
            </w:r>
          </w:p>
        </w:tc>
      </w:tr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d/ </w:t>
            </w:r>
            <w:r w:rsidRPr="00180940">
              <w:rPr>
                <w:rFonts w:asciiTheme="minorHAnsi" w:hAnsiTheme="minorHAnsi"/>
                <w:bCs/>
                <w:sz w:val="24"/>
                <w:szCs w:val="24"/>
              </w:rPr>
              <w:t xml:space="preserve">Na dorobek </w:t>
            </w:r>
            <w:r w:rsidRPr="00180940">
              <w:rPr>
                <w:rFonts w:asciiTheme="minorHAnsi" w:hAnsiTheme="minorHAnsi"/>
                <w:iCs/>
                <w:sz w:val="24"/>
                <w:szCs w:val="24"/>
              </w:rPr>
              <w:t>acquis communautaire</w:t>
            </w:r>
            <w:r w:rsidRPr="00180940">
              <w:rPr>
                <w:rFonts w:asciiTheme="minorHAnsi" w:hAnsiTheme="minorHAnsi"/>
                <w:bCs/>
                <w:sz w:val="24"/>
                <w:szCs w:val="24"/>
              </w:rPr>
              <w:t xml:space="preserve"> składa się nie 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ylko całe…</w:t>
            </w:r>
          </w:p>
        </w:tc>
        <w:tc>
          <w:tcPr>
            <w:tcW w:w="1027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pkt</w:t>
            </w:r>
          </w:p>
        </w:tc>
      </w:tr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e/ </w:t>
            </w:r>
            <w:r w:rsidRPr="00180940">
              <w:rPr>
                <w:rFonts w:asciiTheme="minorHAnsi" w:hAnsiTheme="minorHAnsi"/>
                <w:sz w:val="24"/>
                <w:szCs w:val="24"/>
              </w:rPr>
              <w:t>Najważniejszą zasadą prawa wspólnotowego jest t</w:t>
            </w:r>
            <w:r>
              <w:rPr>
                <w:rFonts w:asciiTheme="minorHAnsi" w:hAnsiTheme="minorHAnsi"/>
                <w:sz w:val="24"/>
                <w:szCs w:val="24"/>
              </w:rPr>
              <w:t>o, że ma ono…</w:t>
            </w:r>
          </w:p>
        </w:tc>
        <w:tc>
          <w:tcPr>
            <w:tcW w:w="1027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pkt</w:t>
            </w:r>
          </w:p>
        </w:tc>
      </w:tr>
      <w:tr w:rsidR="00C24C90" w:rsidRPr="00180940" w:rsidTr="00C24C90">
        <w:tc>
          <w:tcPr>
            <w:tcW w:w="7905" w:type="dxa"/>
          </w:tcPr>
          <w:p w:rsidR="00C24C90" w:rsidRPr="00180940" w:rsidRDefault="00C24C90" w:rsidP="00C24C90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f/ </w:t>
            </w:r>
            <w:r w:rsidR="00F02DC0" w:rsidRPr="0076502D">
              <w:rPr>
                <w:rFonts w:asciiTheme="minorHAnsi" w:hAnsiTheme="minorHAnsi"/>
                <w:sz w:val="24"/>
                <w:szCs w:val="24"/>
              </w:rPr>
              <w:t>Przyjęcie w całości acquis communautaire jest warunkiem sine qua non</w:t>
            </w:r>
            <w:r w:rsidR="00F02DC0">
              <w:rPr>
                <w:rFonts w:asciiTheme="minorHAnsi" w:hAnsiTheme="minorHAnsi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1027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C24C90" w:rsidRPr="00C24C90" w:rsidRDefault="00C24C90" w:rsidP="00C24C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24C90" w:rsidRPr="00C24C90" w:rsidRDefault="00C24C90" w:rsidP="002E2F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pkt</w:t>
            </w:r>
          </w:p>
        </w:tc>
      </w:tr>
    </w:tbl>
    <w:p w:rsidR="00C24C90" w:rsidRPr="00863CF7" w:rsidRDefault="00C24C90" w:rsidP="00C2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12"/>
          <w:szCs w:val="12"/>
        </w:rPr>
      </w:pPr>
    </w:p>
    <w:p w:rsidR="00D07928" w:rsidRDefault="00D07928" w:rsidP="00C24C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0E6300">
        <w:rPr>
          <w:i/>
          <w:sz w:val="24"/>
          <w:szCs w:val="24"/>
        </w:rPr>
        <w:t>2/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</w:r>
      <w:r w:rsidR="00C24C90">
        <w:rPr>
          <w:i/>
          <w:sz w:val="24"/>
          <w:szCs w:val="24"/>
        </w:rPr>
        <w:tab/>
        <w:t>/4</w:t>
      </w:r>
    </w:p>
    <w:p w:rsidR="00C24C90" w:rsidRPr="00F02DC0" w:rsidRDefault="00C24C90" w:rsidP="00F02DC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24C90">
        <w:rPr>
          <w:rFonts w:asciiTheme="minorHAnsi" w:hAnsiTheme="minorHAnsi"/>
          <w:b/>
          <w:sz w:val="24"/>
          <w:szCs w:val="24"/>
        </w:rPr>
        <w:t>a/ akty delegowane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  <w:r w:rsidRPr="00C24C90">
        <w:rPr>
          <w:rFonts w:asciiTheme="minorHAnsi" w:hAnsiTheme="minorHAnsi"/>
          <w:b/>
          <w:sz w:val="24"/>
          <w:szCs w:val="24"/>
        </w:rPr>
        <w:tab/>
      </w:r>
      <w:r w:rsidR="00F365A4">
        <w:rPr>
          <w:rFonts w:asciiTheme="minorHAnsi" w:hAnsiTheme="minorHAnsi"/>
          <w:b/>
          <w:sz w:val="24"/>
          <w:szCs w:val="24"/>
        </w:rPr>
        <w:tab/>
      </w:r>
      <w:r w:rsidR="00012396">
        <w:rPr>
          <w:rFonts w:asciiTheme="minorHAnsi" w:hAnsiTheme="minorHAnsi"/>
          <w:b/>
          <w:sz w:val="24"/>
          <w:szCs w:val="24"/>
        </w:rPr>
        <w:t xml:space="preserve">d/ </w:t>
      </w:r>
      <w:r w:rsidR="00012396" w:rsidRPr="00C24C90">
        <w:rPr>
          <w:rFonts w:asciiTheme="minorHAnsi" w:hAnsiTheme="minorHAnsi"/>
          <w:b/>
          <w:sz w:val="24"/>
          <w:szCs w:val="24"/>
        </w:rPr>
        <w:t>rozporządzenia</w:t>
      </w:r>
      <w:r w:rsidR="00012396">
        <w:rPr>
          <w:rFonts w:asciiTheme="minorHAnsi" w:hAnsiTheme="minorHAnsi"/>
          <w:b/>
          <w:sz w:val="24"/>
          <w:szCs w:val="24"/>
        </w:rPr>
        <w:t xml:space="preserve"> </w:t>
      </w:r>
      <w:r w:rsidR="00012396">
        <w:rPr>
          <w:b/>
          <w:bCs/>
          <w:sz w:val="24"/>
          <w:szCs w:val="24"/>
        </w:rPr>
        <w:t>– 1 pkt</w:t>
      </w:r>
      <w:r w:rsidR="00012396">
        <w:rPr>
          <w:rFonts w:asciiTheme="minorHAnsi" w:hAnsiTheme="minorHAnsi"/>
          <w:b/>
          <w:sz w:val="24"/>
          <w:szCs w:val="24"/>
        </w:rPr>
        <w:t xml:space="preserve"> </w:t>
      </w:r>
      <w:r w:rsidR="00012396">
        <w:rPr>
          <w:rFonts w:asciiTheme="minorHAnsi" w:hAnsiTheme="minorHAnsi"/>
          <w:b/>
          <w:sz w:val="24"/>
          <w:szCs w:val="24"/>
        </w:rPr>
        <w:br/>
      </w:r>
      <w:r w:rsidR="00F365A4">
        <w:rPr>
          <w:rFonts w:asciiTheme="minorHAnsi" w:hAnsiTheme="minorHAnsi"/>
          <w:b/>
          <w:sz w:val="24"/>
          <w:szCs w:val="24"/>
        </w:rPr>
        <w:t>g</w:t>
      </w:r>
      <w:r w:rsidRPr="00C24C90">
        <w:rPr>
          <w:rFonts w:asciiTheme="minorHAnsi" w:hAnsiTheme="minorHAnsi"/>
          <w:b/>
          <w:sz w:val="24"/>
          <w:szCs w:val="24"/>
        </w:rPr>
        <w:t>/ akty ustawodawcze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  <w:r w:rsidR="00012396">
        <w:rPr>
          <w:rFonts w:asciiTheme="minorHAnsi" w:hAnsiTheme="minorHAnsi"/>
          <w:b/>
          <w:sz w:val="24"/>
          <w:szCs w:val="24"/>
        </w:rPr>
        <w:tab/>
        <w:t>j</w:t>
      </w:r>
      <w:r w:rsidRPr="00C24C90">
        <w:rPr>
          <w:rFonts w:asciiTheme="minorHAnsi" w:hAnsiTheme="minorHAnsi"/>
          <w:b/>
          <w:sz w:val="24"/>
          <w:szCs w:val="24"/>
        </w:rPr>
        <w:t xml:space="preserve">/ dyrektywy </w:t>
      </w:r>
      <w:r>
        <w:rPr>
          <w:b/>
          <w:bCs/>
          <w:sz w:val="24"/>
          <w:szCs w:val="24"/>
        </w:rPr>
        <w:t>– 1 pkt</w:t>
      </w:r>
      <w:r w:rsidR="00012396">
        <w:rPr>
          <w:rFonts w:asciiTheme="minorHAnsi" w:hAnsiTheme="minorHAnsi"/>
          <w:b/>
          <w:sz w:val="24"/>
          <w:szCs w:val="24"/>
        </w:rPr>
        <w:tab/>
      </w:r>
      <w:r w:rsidR="00012396">
        <w:rPr>
          <w:rFonts w:asciiTheme="minorHAnsi" w:hAnsiTheme="minorHAnsi"/>
          <w:b/>
          <w:sz w:val="24"/>
          <w:szCs w:val="24"/>
        </w:rPr>
        <w:tab/>
      </w:r>
      <w:r w:rsidR="00012396">
        <w:rPr>
          <w:rFonts w:asciiTheme="minorHAnsi" w:hAnsiTheme="minorHAnsi"/>
          <w:b/>
          <w:sz w:val="24"/>
          <w:szCs w:val="24"/>
        </w:rPr>
        <w:tab/>
      </w:r>
      <w:r w:rsidR="00012396">
        <w:rPr>
          <w:rFonts w:asciiTheme="minorHAnsi" w:hAnsiTheme="minorHAnsi"/>
          <w:b/>
          <w:sz w:val="24"/>
          <w:szCs w:val="24"/>
        </w:rPr>
        <w:tab/>
      </w:r>
      <w:r w:rsidR="00012396">
        <w:rPr>
          <w:rFonts w:asciiTheme="minorHAnsi" w:hAnsiTheme="minorHAnsi"/>
          <w:b/>
          <w:sz w:val="24"/>
          <w:szCs w:val="24"/>
        </w:rPr>
        <w:tab/>
      </w:r>
    </w:p>
    <w:p w:rsidR="00F424AF" w:rsidRPr="00863CF7" w:rsidRDefault="00F424AF" w:rsidP="00C24C90">
      <w:pPr>
        <w:spacing w:after="0" w:line="240" w:lineRule="auto"/>
        <w:jc w:val="both"/>
        <w:rPr>
          <w:rFonts w:cs="Calibri"/>
          <w:i/>
          <w:sz w:val="12"/>
          <w:szCs w:val="12"/>
        </w:rPr>
      </w:pPr>
    </w:p>
    <w:p w:rsidR="00D07928" w:rsidRDefault="00D07928" w:rsidP="00C24C9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Pr="000E6300">
        <w:rPr>
          <w:rFonts w:cs="Calibri"/>
          <w:i/>
          <w:sz w:val="24"/>
          <w:szCs w:val="24"/>
        </w:rPr>
        <w:t>/</w:t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</w:r>
      <w:r w:rsidR="00C24C90">
        <w:rPr>
          <w:rFonts w:cs="Calibri"/>
          <w:i/>
          <w:sz w:val="24"/>
          <w:szCs w:val="24"/>
        </w:rPr>
        <w:tab/>
        <w:t>/1</w:t>
      </w:r>
    </w:p>
    <w:p w:rsidR="00F424AF" w:rsidRDefault="00C24C90" w:rsidP="00C24C9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Trybunał Sprawiedliwości UE [Unii Europejskiej] [Europejski Trybunał Sprawiedliwości]</w:t>
      </w:r>
      <w:r w:rsidR="00F424AF">
        <w:rPr>
          <w:b/>
          <w:bCs/>
          <w:sz w:val="24"/>
          <w:szCs w:val="24"/>
        </w:rPr>
        <w:t xml:space="preserve"> – 1 pkt</w:t>
      </w:r>
    </w:p>
    <w:p w:rsidR="00A62B5E" w:rsidRPr="00A62B5E" w:rsidRDefault="00A62B5E" w:rsidP="00C24C90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Uwaga za sam „Trybunał Sprawiedliwości” – 0 pkt.!</w:t>
      </w:r>
    </w:p>
    <w:p w:rsidR="00F424AF" w:rsidRPr="00863CF7" w:rsidRDefault="00F424AF" w:rsidP="00C24C90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D07928" w:rsidRDefault="00D07928" w:rsidP="00C24C90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4</w:t>
      </w:r>
      <w:r w:rsidRPr="000E6300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DD0150">
        <w:rPr>
          <w:bCs/>
          <w:i/>
          <w:sz w:val="24"/>
          <w:szCs w:val="24"/>
        </w:rPr>
        <w:t>/4</w:t>
      </w:r>
    </w:p>
    <w:p w:rsidR="00D07928" w:rsidRPr="00512842" w:rsidRDefault="00DD0150" w:rsidP="00C24C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a/ pierwotne</w:t>
      </w:r>
      <w:r w:rsidR="00D07928" w:rsidRPr="00512842">
        <w:rPr>
          <w:rFonts w:cs="Calibri"/>
          <w:b/>
          <w:sz w:val="24"/>
          <w:szCs w:val="24"/>
        </w:rPr>
        <w:t xml:space="preserve"> </w:t>
      </w:r>
      <w:r w:rsidR="00D07928">
        <w:rPr>
          <w:b/>
          <w:bCs/>
          <w:sz w:val="24"/>
          <w:szCs w:val="24"/>
        </w:rPr>
        <w:t>– 1 pkt</w:t>
      </w:r>
    </w:p>
    <w:p w:rsidR="00D07928" w:rsidRPr="00512842" w:rsidRDefault="00DD0150" w:rsidP="00C24C9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b/ państwa członkowskie </w:t>
      </w:r>
      <w:r w:rsidR="00D07928">
        <w:rPr>
          <w:b/>
          <w:bCs/>
          <w:sz w:val="24"/>
          <w:szCs w:val="24"/>
        </w:rPr>
        <w:t>– 1 pkt</w:t>
      </w:r>
    </w:p>
    <w:p w:rsidR="00D07928" w:rsidRDefault="00DD0150" w:rsidP="00C24C9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c/ wtórne [pochodne] </w:t>
      </w:r>
      <w:r w:rsidR="007A4298">
        <w:rPr>
          <w:b/>
          <w:bCs/>
          <w:sz w:val="24"/>
          <w:szCs w:val="24"/>
        </w:rPr>
        <w:t>– 1</w:t>
      </w:r>
      <w:r w:rsidR="00D07928">
        <w:rPr>
          <w:b/>
          <w:bCs/>
          <w:sz w:val="24"/>
          <w:szCs w:val="24"/>
        </w:rPr>
        <w:t xml:space="preserve"> pkt</w:t>
      </w:r>
    </w:p>
    <w:p w:rsidR="00DD0150" w:rsidRPr="00512842" w:rsidRDefault="00DD0150" w:rsidP="00DD015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>d/ instytucje [unijne, UE] – 1 pkt</w:t>
      </w:r>
    </w:p>
    <w:p w:rsidR="007A4298" w:rsidRPr="00863CF7" w:rsidRDefault="007A4298" w:rsidP="00C24C90">
      <w:pPr>
        <w:spacing w:after="0" w:line="240" w:lineRule="auto"/>
        <w:jc w:val="both"/>
        <w:rPr>
          <w:rFonts w:cs="Calibri"/>
          <w:i/>
          <w:sz w:val="12"/>
          <w:szCs w:val="12"/>
        </w:rPr>
      </w:pPr>
    </w:p>
    <w:p w:rsidR="007A4298" w:rsidRDefault="002E2FD4" w:rsidP="00C24C9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5/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/8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3"/>
        <w:gridCol w:w="1547"/>
        <w:gridCol w:w="1843"/>
        <w:gridCol w:w="6520"/>
      </w:tblGrid>
      <w:tr w:rsidR="00A62B5E" w:rsidRPr="00180940" w:rsidTr="000B4B8B">
        <w:tc>
          <w:tcPr>
            <w:tcW w:w="863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Traktat</w:t>
            </w:r>
          </w:p>
        </w:tc>
        <w:tc>
          <w:tcPr>
            <w:tcW w:w="1547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A62B5E" w:rsidRPr="00180940" w:rsidRDefault="00A62B5E" w:rsidP="000B4B8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 xml:space="preserve">Data </w:t>
            </w:r>
          </w:p>
        </w:tc>
        <w:tc>
          <w:tcPr>
            <w:tcW w:w="6520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>Ocena</w:t>
            </w:r>
          </w:p>
        </w:tc>
      </w:tr>
      <w:tr w:rsidR="00A62B5E" w:rsidRPr="00180940" w:rsidTr="000B4B8B">
        <w:trPr>
          <w:trHeight w:val="244"/>
        </w:trPr>
        <w:tc>
          <w:tcPr>
            <w:tcW w:w="863" w:type="dxa"/>
            <w:vMerge w:val="restart"/>
          </w:tcPr>
          <w:p w:rsidR="00863CF7" w:rsidRDefault="00863CF7" w:rsidP="00A62B5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62B5E" w:rsidRPr="00180940" w:rsidRDefault="00A62B5E" w:rsidP="00A62B5E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a/ </w:t>
            </w:r>
          </w:p>
        </w:tc>
        <w:tc>
          <w:tcPr>
            <w:tcW w:w="3390" w:type="dxa"/>
            <w:gridSpan w:val="2"/>
          </w:tcPr>
          <w:p w:rsidR="00A62B5E" w:rsidRPr="00A62B5E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pacing w:val="-16"/>
                <w:sz w:val="24"/>
                <w:szCs w:val="24"/>
              </w:rPr>
            </w:pPr>
            <w:r w:rsidRPr="00A62B5E">
              <w:rPr>
                <w:rFonts w:asciiTheme="minorHAnsi" w:hAnsiTheme="minorHAnsi" w:cs="Calibri"/>
                <w:bCs/>
                <w:spacing w:val="-16"/>
                <w:sz w:val="24"/>
                <w:szCs w:val="24"/>
              </w:rPr>
              <w:t>Odpowiedź 1 z poniższych lub obie:</w:t>
            </w:r>
          </w:p>
        </w:tc>
        <w:tc>
          <w:tcPr>
            <w:tcW w:w="6520" w:type="dxa"/>
            <w:vMerge w:val="restart"/>
          </w:tcPr>
          <w:p w:rsidR="00A62B5E" w:rsidRPr="002E2FD4" w:rsidRDefault="00A62B5E" w:rsidP="000B4B8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1 pkt za 1 miejsce lub 2 miejsca i 1 pkt za 1 datę </w:t>
            </w:r>
            <w:r w:rsidR="002E2FD4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lub 2 daty</w:t>
            </w:r>
            <w:r w:rsidR="000B4B8B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– razem 2 pkt. za wiersz</w:t>
            </w:r>
            <w:r w:rsidR="002E2FD4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</w:p>
        </w:tc>
      </w:tr>
      <w:tr w:rsidR="00A62B5E" w:rsidRPr="00180940" w:rsidTr="000B4B8B">
        <w:trPr>
          <w:trHeight w:val="244"/>
        </w:trPr>
        <w:tc>
          <w:tcPr>
            <w:tcW w:w="863" w:type="dxa"/>
            <w:vMerge/>
          </w:tcPr>
          <w:p w:rsidR="00A62B5E" w:rsidRDefault="00A62B5E" w:rsidP="00A62B5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Luksemburg</w:t>
            </w:r>
          </w:p>
        </w:tc>
        <w:tc>
          <w:tcPr>
            <w:tcW w:w="1843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17.02.1986</w:t>
            </w:r>
          </w:p>
        </w:tc>
        <w:tc>
          <w:tcPr>
            <w:tcW w:w="6520" w:type="dxa"/>
            <w:vMerge/>
          </w:tcPr>
          <w:p w:rsidR="00A62B5E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62B5E" w:rsidRPr="00180940" w:rsidTr="000B4B8B">
        <w:trPr>
          <w:trHeight w:val="244"/>
        </w:trPr>
        <w:tc>
          <w:tcPr>
            <w:tcW w:w="863" w:type="dxa"/>
            <w:vMerge/>
          </w:tcPr>
          <w:p w:rsidR="00A62B5E" w:rsidRDefault="00A62B5E" w:rsidP="00A62B5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Haga</w:t>
            </w:r>
          </w:p>
        </w:tc>
        <w:tc>
          <w:tcPr>
            <w:tcW w:w="1843" w:type="dxa"/>
          </w:tcPr>
          <w:p w:rsidR="00A62B5E" w:rsidRPr="00180940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28.02.1986</w:t>
            </w:r>
          </w:p>
        </w:tc>
        <w:tc>
          <w:tcPr>
            <w:tcW w:w="6520" w:type="dxa"/>
            <w:vMerge/>
          </w:tcPr>
          <w:p w:rsidR="00A62B5E" w:rsidRDefault="00A62B5E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62B5E" w:rsidRPr="00180940" w:rsidTr="000B4B8B">
        <w:tc>
          <w:tcPr>
            <w:tcW w:w="863" w:type="dxa"/>
          </w:tcPr>
          <w:p w:rsidR="00A62B5E" w:rsidRPr="00180940" w:rsidRDefault="00A62B5E" w:rsidP="00A62B5E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b/ </w:t>
            </w:r>
          </w:p>
        </w:tc>
        <w:tc>
          <w:tcPr>
            <w:tcW w:w="1547" w:type="dxa"/>
          </w:tcPr>
          <w:p w:rsidR="00A62B5E" w:rsidRPr="00180940" w:rsidRDefault="00012396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Paryż</w:t>
            </w:r>
          </w:p>
        </w:tc>
        <w:tc>
          <w:tcPr>
            <w:tcW w:w="1843" w:type="dxa"/>
          </w:tcPr>
          <w:p w:rsidR="00A62B5E" w:rsidRPr="00180940" w:rsidRDefault="002E2FD4" w:rsidP="000123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</w:t>
            </w:r>
            <w:r w:rsidR="0001239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 w:rsidR="0001239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04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 w:rsidR="0001239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6520" w:type="dxa"/>
          </w:tcPr>
          <w:p w:rsidR="00A62B5E" w:rsidRPr="00180940" w:rsidRDefault="00A62B5E" w:rsidP="00CE6D2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pkt za miejsce i 1 pkt za datę</w:t>
            </w:r>
            <w:r w:rsidR="00CE6D2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– razem 2 pkt. za wiersz</w:t>
            </w:r>
          </w:p>
        </w:tc>
      </w:tr>
      <w:tr w:rsidR="00A62B5E" w:rsidRPr="00180940" w:rsidTr="000B4B8B">
        <w:trPr>
          <w:trHeight w:val="66"/>
        </w:trPr>
        <w:tc>
          <w:tcPr>
            <w:tcW w:w="863" w:type="dxa"/>
          </w:tcPr>
          <w:p w:rsidR="00A62B5E" w:rsidRPr="00180940" w:rsidRDefault="00A62B5E" w:rsidP="00A62B5E">
            <w:pPr>
              <w:spacing w:after="0" w:line="240" w:lineRule="auto"/>
              <w:jc w:val="both"/>
              <w:rPr>
                <w:rFonts w:asciiTheme="minorHAnsi" w:hAnsiTheme="minorHAnsi" w:cs="Calibri"/>
                <w:spacing w:val="-6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c/ </w:t>
            </w:r>
          </w:p>
        </w:tc>
        <w:tc>
          <w:tcPr>
            <w:tcW w:w="1547" w:type="dxa"/>
          </w:tcPr>
          <w:p w:rsidR="00A62B5E" w:rsidRPr="00180940" w:rsidRDefault="00663437" w:rsidP="002E2F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Rzym</w:t>
            </w:r>
          </w:p>
        </w:tc>
        <w:tc>
          <w:tcPr>
            <w:tcW w:w="1843" w:type="dxa"/>
          </w:tcPr>
          <w:p w:rsidR="00A62B5E" w:rsidRPr="00180940" w:rsidRDefault="002E2FD4" w:rsidP="0066343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</w:t>
            </w:r>
            <w:r w:rsidR="0066343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.0</w:t>
            </w:r>
            <w:r w:rsidR="0066343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  <w:r w:rsidR="00AD30E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19</w:t>
            </w:r>
            <w:r w:rsidR="0066343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</w:t>
            </w:r>
            <w:r w:rsidR="00AD30E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62B5E" w:rsidRPr="00180940" w:rsidRDefault="00A62B5E" w:rsidP="00CE6D2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pkt za miejsce i 1 pkt za datę</w:t>
            </w:r>
            <w:r w:rsidR="00CE6D2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– razem 2 pkt. za wiersz</w:t>
            </w:r>
          </w:p>
        </w:tc>
      </w:tr>
      <w:tr w:rsidR="00A62B5E" w:rsidRPr="00180940" w:rsidTr="000B4B8B">
        <w:tc>
          <w:tcPr>
            <w:tcW w:w="863" w:type="dxa"/>
          </w:tcPr>
          <w:p w:rsidR="00A62B5E" w:rsidRPr="00180940" w:rsidRDefault="00A62B5E" w:rsidP="00A62B5E">
            <w:pPr>
              <w:spacing w:after="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d/ </w:t>
            </w:r>
          </w:p>
        </w:tc>
        <w:tc>
          <w:tcPr>
            <w:tcW w:w="1547" w:type="dxa"/>
          </w:tcPr>
          <w:p w:rsidR="00A62B5E" w:rsidRPr="00180940" w:rsidRDefault="002E2FD4" w:rsidP="002E2FD4">
            <w:pPr>
              <w:pStyle w:val="Nagwek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Bruksela</w:t>
            </w:r>
          </w:p>
        </w:tc>
        <w:tc>
          <w:tcPr>
            <w:tcW w:w="1843" w:type="dxa"/>
          </w:tcPr>
          <w:p w:rsidR="00A62B5E" w:rsidRPr="00180940" w:rsidRDefault="002E2FD4" w:rsidP="002E2FD4">
            <w:pPr>
              <w:pStyle w:val="Nagwek2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8.04.1965</w:t>
            </w:r>
          </w:p>
        </w:tc>
        <w:tc>
          <w:tcPr>
            <w:tcW w:w="6520" w:type="dxa"/>
          </w:tcPr>
          <w:p w:rsidR="00A62B5E" w:rsidRPr="00180940" w:rsidRDefault="00A62B5E" w:rsidP="00CE6D2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 pkt za miejsce i 1 pkt za datę</w:t>
            </w:r>
            <w:r w:rsidR="00CE6D26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– razem 2 pkt. za wiersz</w:t>
            </w:r>
          </w:p>
        </w:tc>
      </w:tr>
    </w:tbl>
    <w:p w:rsidR="00863CF7" w:rsidRPr="00863CF7" w:rsidRDefault="00CE6D26" w:rsidP="00CE6D26">
      <w:pPr>
        <w:tabs>
          <w:tab w:val="left" w:pos="7535"/>
        </w:tabs>
        <w:spacing w:after="0" w:line="240" w:lineRule="auto"/>
        <w:jc w:val="both"/>
        <w:rPr>
          <w:rFonts w:cs="Calibri"/>
          <w:i/>
          <w:sz w:val="12"/>
          <w:szCs w:val="12"/>
        </w:rPr>
      </w:pPr>
      <w:r>
        <w:rPr>
          <w:rFonts w:cs="Calibri"/>
          <w:i/>
          <w:sz w:val="12"/>
          <w:szCs w:val="12"/>
        </w:rPr>
        <w:tab/>
      </w:r>
    </w:p>
    <w:p w:rsidR="00D07928" w:rsidRDefault="002E2FD4" w:rsidP="00C24C9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/7</w:t>
      </w:r>
    </w:p>
    <w:p w:rsidR="002E2FD4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a/ 1979</w:t>
      </w:r>
      <w:r w:rsidRPr="00512842"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</w:p>
    <w:p w:rsidR="002E2FD4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2005 – 1 pkt</w:t>
      </w:r>
    </w:p>
    <w:p w:rsidR="002E2FD4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 2011 – 1 pkt</w:t>
      </w:r>
    </w:p>
    <w:p w:rsidR="002E2FD4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 28 – 1 pkt</w:t>
      </w:r>
    </w:p>
    <w:p w:rsidR="002E2FD4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e/ warunki [zasady] – 1 pkt</w:t>
      </w:r>
    </w:p>
    <w:p w:rsidR="002E2FD4" w:rsidRDefault="002E2FD4" w:rsidP="002E2FD4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f/ traktatów założycielskich – 1 pkt</w:t>
      </w:r>
      <w:r>
        <w:rPr>
          <w:bCs/>
          <w:i/>
          <w:sz w:val="24"/>
          <w:szCs w:val="24"/>
        </w:rPr>
        <w:t xml:space="preserve"> – Uwaga! Za same „traktaty” – 0 pkt.</w:t>
      </w:r>
    </w:p>
    <w:p w:rsidR="002E2FD4" w:rsidRPr="002E2FD4" w:rsidRDefault="002E2FD4" w:rsidP="002E2FD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g/ instytucji [unijnych, UE] – 1 pkt </w:t>
      </w:r>
    </w:p>
    <w:p w:rsidR="007A4298" w:rsidRPr="00863CF7" w:rsidRDefault="007A4298" w:rsidP="00C24C90">
      <w:pPr>
        <w:spacing w:after="0" w:line="240" w:lineRule="auto"/>
        <w:jc w:val="both"/>
        <w:rPr>
          <w:b/>
          <w:bCs/>
          <w:sz w:val="12"/>
          <w:szCs w:val="12"/>
        </w:rPr>
      </w:pPr>
    </w:p>
    <w:p w:rsidR="00D07928" w:rsidRDefault="002E2FD4" w:rsidP="00C24C9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/5</w:t>
      </w:r>
    </w:p>
    <w:p w:rsidR="002E2FD4" w:rsidRPr="00863CF7" w:rsidRDefault="00AD30E7" w:rsidP="00AD30E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63CF7">
        <w:rPr>
          <w:rFonts w:asciiTheme="minorHAnsi" w:hAnsiTheme="minorHAnsi"/>
          <w:b/>
          <w:spacing w:val="-6"/>
          <w:sz w:val="24"/>
          <w:szCs w:val="24"/>
        </w:rPr>
        <w:t xml:space="preserve">c/ zasada </w:t>
      </w:r>
      <w:proofErr w:type="spellStart"/>
      <w:r w:rsidRPr="00863CF7">
        <w:rPr>
          <w:rFonts w:asciiTheme="minorHAnsi" w:hAnsiTheme="minorHAnsi"/>
          <w:b/>
          <w:spacing w:val="-6"/>
          <w:sz w:val="24"/>
          <w:szCs w:val="24"/>
        </w:rPr>
        <w:t>nieretroaktywnego</w:t>
      </w:r>
      <w:proofErr w:type="spellEnd"/>
      <w:r w:rsidRPr="00863CF7">
        <w:rPr>
          <w:rFonts w:asciiTheme="minorHAnsi" w:hAnsiTheme="minorHAnsi"/>
          <w:b/>
          <w:spacing w:val="-6"/>
          <w:sz w:val="24"/>
          <w:szCs w:val="24"/>
        </w:rPr>
        <w:t xml:space="preserve"> działania prawa </w:t>
      </w:r>
      <w:r w:rsidRPr="00863CF7">
        <w:rPr>
          <w:rFonts w:asciiTheme="minorHAnsi" w:hAnsiTheme="minorHAnsi"/>
          <w:b/>
          <w:bCs/>
          <w:spacing w:val="-6"/>
          <w:sz w:val="24"/>
          <w:szCs w:val="24"/>
        </w:rPr>
        <w:t xml:space="preserve">– 1 </w:t>
      </w:r>
      <w:proofErr w:type="spellStart"/>
      <w:r w:rsidRPr="00863CF7">
        <w:rPr>
          <w:rFonts w:asciiTheme="minorHAnsi" w:hAnsiTheme="minorHAnsi"/>
          <w:b/>
          <w:bCs/>
          <w:spacing w:val="-6"/>
          <w:sz w:val="24"/>
          <w:szCs w:val="24"/>
        </w:rPr>
        <w:t>pkt</w:t>
      </w:r>
      <w:proofErr w:type="spellEnd"/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d</w:t>
      </w:r>
      <w:r w:rsidRPr="00863CF7">
        <w:rPr>
          <w:rFonts w:asciiTheme="minorHAnsi" w:hAnsiTheme="minorHAnsi"/>
          <w:b/>
          <w:sz w:val="24"/>
          <w:szCs w:val="24"/>
        </w:rPr>
        <w:t xml:space="preserve">/ prawa podstawowe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Pr="00863CF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 w:rsidRPr="00863CF7">
        <w:rPr>
          <w:rFonts w:asciiTheme="minorHAnsi" w:hAnsiTheme="minorHAnsi"/>
          <w:b/>
          <w:sz w:val="24"/>
          <w:szCs w:val="24"/>
        </w:rPr>
        <w:t>e/ zasada pewności prawa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="000B4B8B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9002CF">
        <w:rPr>
          <w:rFonts w:asciiTheme="minorHAnsi" w:hAnsiTheme="minorHAnsi"/>
          <w:b/>
          <w:sz w:val="24"/>
          <w:szCs w:val="24"/>
        </w:rPr>
        <w:tab/>
      </w:r>
      <w:r w:rsidR="009002CF">
        <w:rPr>
          <w:rFonts w:asciiTheme="minorHAnsi" w:hAnsiTheme="minorHAnsi"/>
          <w:b/>
          <w:sz w:val="24"/>
          <w:szCs w:val="24"/>
        </w:rPr>
        <w:tab/>
      </w:r>
      <w:r w:rsidR="000B4B8B">
        <w:rPr>
          <w:rFonts w:asciiTheme="minorHAnsi" w:hAnsiTheme="minorHAnsi"/>
          <w:b/>
          <w:sz w:val="24"/>
          <w:szCs w:val="24"/>
        </w:rPr>
        <w:t>f</w:t>
      </w:r>
      <w:r w:rsidR="00863CF7">
        <w:rPr>
          <w:rFonts w:asciiTheme="minorHAnsi" w:hAnsiTheme="minorHAnsi"/>
          <w:b/>
          <w:sz w:val="24"/>
          <w:szCs w:val="24"/>
        </w:rPr>
        <w:t xml:space="preserve">/ zasada niedyskryminacji </w:t>
      </w:r>
      <w:r w:rsidR="00863CF7">
        <w:rPr>
          <w:b/>
          <w:bCs/>
          <w:sz w:val="24"/>
          <w:szCs w:val="24"/>
        </w:rPr>
        <w:t>– 1 pkt</w:t>
      </w:r>
      <w:r w:rsidRPr="00AD30E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:rsidR="002E2FD4" w:rsidRPr="00F02DC0" w:rsidRDefault="000B4B8B" w:rsidP="00863CF7">
      <w:pPr>
        <w:spacing w:after="0" w:line="240" w:lineRule="auto"/>
        <w:jc w:val="both"/>
        <w:rPr>
          <w:rFonts w:asciiTheme="minorHAnsi" w:hAnsiTheme="minorHAnsi"/>
          <w:spacing w:val="-6"/>
          <w:sz w:val="24"/>
          <w:szCs w:val="24"/>
        </w:rPr>
      </w:pPr>
      <w:r>
        <w:rPr>
          <w:rFonts w:asciiTheme="minorHAnsi" w:hAnsiTheme="minorHAnsi"/>
          <w:b/>
          <w:spacing w:val="-6"/>
          <w:sz w:val="24"/>
          <w:szCs w:val="24"/>
        </w:rPr>
        <w:t>h</w:t>
      </w:r>
      <w:r w:rsidR="002E2FD4" w:rsidRPr="00863CF7">
        <w:rPr>
          <w:rFonts w:asciiTheme="minorHAnsi" w:hAnsiTheme="minorHAnsi"/>
          <w:b/>
          <w:spacing w:val="-6"/>
          <w:sz w:val="24"/>
          <w:szCs w:val="24"/>
        </w:rPr>
        <w:t>/ zasada ochrony uprawnionego oczekiwania</w:t>
      </w:r>
      <w:r w:rsidR="00863CF7" w:rsidRPr="00863CF7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="00863CF7" w:rsidRPr="00863CF7">
        <w:rPr>
          <w:rFonts w:asciiTheme="minorHAnsi" w:hAnsiTheme="minorHAnsi"/>
          <w:b/>
          <w:bCs/>
          <w:spacing w:val="-6"/>
          <w:sz w:val="24"/>
          <w:szCs w:val="24"/>
        </w:rPr>
        <w:t>– 1 pkt</w:t>
      </w:r>
      <w:r w:rsidR="002E2FD4">
        <w:rPr>
          <w:rFonts w:asciiTheme="minorHAnsi" w:hAnsiTheme="minorHAnsi"/>
          <w:sz w:val="24"/>
          <w:szCs w:val="24"/>
        </w:rPr>
        <w:tab/>
      </w:r>
      <w:r w:rsidR="002E2FD4">
        <w:rPr>
          <w:rFonts w:asciiTheme="minorHAnsi" w:hAnsiTheme="minorHAnsi"/>
          <w:sz w:val="24"/>
          <w:szCs w:val="24"/>
        </w:rPr>
        <w:tab/>
      </w:r>
    </w:p>
    <w:p w:rsidR="002E2FD4" w:rsidRPr="00863CF7" w:rsidRDefault="002E2FD4" w:rsidP="00C24C90">
      <w:pPr>
        <w:spacing w:after="0" w:line="240" w:lineRule="auto"/>
        <w:rPr>
          <w:rFonts w:eastAsia="Times New Roman" w:cs="Calibri"/>
          <w:i/>
          <w:sz w:val="12"/>
          <w:szCs w:val="12"/>
        </w:rPr>
      </w:pPr>
    </w:p>
    <w:p w:rsidR="00D07928" w:rsidRPr="002C6123" w:rsidRDefault="007A4298" w:rsidP="00C24C90">
      <w:pPr>
        <w:spacing w:after="0" w:line="240" w:lineRule="auto"/>
        <w:rPr>
          <w:sz w:val="26"/>
          <w:szCs w:val="26"/>
        </w:rPr>
      </w:pPr>
      <w:r>
        <w:rPr>
          <w:rFonts w:eastAsia="Times New Roman" w:cs="Calibri"/>
          <w:i/>
          <w:sz w:val="24"/>
          <w:szCs w:val="24"/>
        </w:rPr>
        <w:t>8</w:t>
      </w:r>
      <w:r w:rsidR="00D07928" w:rsidRPr="00924BF1">
        <w:rPr>
          <w:rFonts w:eastAsia="Times New Roman" w:cs="Calibri"/>
          <w:i/>
          <w:sz w:val="24"/>
          <w:szCs w:val="24"/>
        </w:rPr>
        <w:t>/</w:t>
      </w:r>
      <w:r w:rsidR="00D07928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</w:r>
      <w:r w:rsidR="00863CF7">
        <w:rPr>
          <w:rFonts w:eastAsia="Times New Roman" w:cs="Calibri"/>
          <w:i/>
          <w:sz w:val="24"/>
          <w:szCs w:val="24"/>
        </w:rPr>
        <w:tab/>
        <w:t>/5</w:t>
      </w:r>
    </w:p>
    <w:p w:rsidR="00863CF7" w:rsidRDefault="00863CF7" w:rsidP="00863CF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a/ zwykłą [zwyczajną]</w:t>
      </w:r>
      <w:r w:rsidRPr="00512842"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 pkt</w:t>
      </w:r>
    </w:p>
    <w:p w:rsidR="00863CF7" w:rsidRDefault="00863CF7" w:rsidP="00863CF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b/ uproszczoną – 1 pkt</w:t>
      </w:r>
    </w:p>
    <w:p w:rsidR="00863CF7" w:rsidRDefault="00863CF7" w:rsidP="00863CF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 kładek [kładki] – 1 pkt</w:t>
      </w:r>
    </w:p>
    <w:p w:rsidR="00863CF7" w:rsidRDefault="00863CF7" w:rsidP="00863CF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d/ RE [Rady Europejskiej, Rada Europejska] – 1 pkt</w:t>
      </w:r>
    </w:p>
    <w:p w:rsidR="00863CF7" w:rsidRPr="00863CF7" w:rsidRDefault="00863CF7" w:rsidP="00C24C9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e/ traktatu akcesyjnego – 1 pkt </w:t>
      </w:r>
      <w:r>
        <w:rPr>
          <w:bCs/>
          <w:i/>
          <w:sz w:val="24"/>
          <w:szCs w:val="24"/>
        </w:rPr>
        <w:t>– Uwaga! Za sam „traktat” – 0 pkt.</w:t>
      </w:r>
    </w:p>
    <w:sectPr w:rsidR="00863CF7" w:rsidRPr="00863CF7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17" w:rsidRDefault="00553F17" w:rsidP="00927516">
      <w:pPr>
        <w:spacing w:after="0" w:line="240" w:lineRule="auto"/>
      </w:pPr>
      <w:r>
        <w:separator/>
      </w:r>
    </w:p>
  </w:endnote>
  <w:endnote w:type="continuationSeparator" w:id="0">
    <w:p w:rsidR="00553F17" w:rsidRDefault="00553F1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D30E7" w:rsidRDefault="00F96661">
        <w:pPr>
          <w:pStyle w:val="Stopka"/>
          <w:jc w:val="center"/>
        </w:pPr>
        <w:r>
          <w:fldChar w:fldCharType="begin"/>
        </w:r>
        <w:r w:rsidR="00AD30E7">
          <w:instrText xml:space="preserve"> PAGE   \* MERGEFORMAT </w:instrText>
        </w:r>
        <w:r>
          <w:fldChar w:fldCharType="separate"/>
        </w:r>
        <w:r w:rsidR="00900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0E7" w:rsidRDefault="00AD30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17" w:rsidRDefault="00553F17" w:rsidP="00927516">
      <w:pPr>
        <w:spacing w:after="0" w:line="240" w:lineRule="auto"/>
      </w:pPr>
      <w:r>
        <w:separator/>
      </w:r>
    </w:p>
  </w:footnote>
  <w:footnote w:type="continuationSeparator" w:id="0">
    <w:p w:rsidR="00553F17" w:rsidRDefault="00553F1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E7" w:rsidRDefault="00AD30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E7" w:rsidRDefault="00F9666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AD30E7" w:rsidRPr="001309AB" w:rsidRDefault="00F96661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D30E7">
                        <w:rPr>
                          <w:b/>
                          <w:i/>
                          <w:sz w:val="29"/>
                          <w:szCs w:val="29"/>
                        </w:rPr>
                        <w:t>ETAP CENTRALNY II OGÓLNOPOLSKIEJ OLIMPIADY                                         WIEDZY O UNII EUROPEJSKIEJ – CZ.</w:t>
                      </w:r>
                    </w:sdtContent>
                  </w:sdt>
                  <w:r w:rsidR="00AD30E7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D30E7" w:rsidRPr="00C61E15" w:rsidRDefault="00AD30E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396"/>
    <w:rsid w:val="00031EDF"/>
    <w:rsid w:val="00041000"/>
    <w:rsid w:val="000577C4"/>
    <w:rsid w:val="0006505F"/>
    <w:rsid w:val="000B194E"/>
    <w:rsid w:val="000B4B8B"/>
    <w:rsid w:val="000E6300"/>
    <w:rsid w:val="00105ACE"/>
    <w:rsid w:val="0011032E"/>
    <w:rsid w:val="00121B9B"/>
    <w:rsid w:val="001309AB"/>
    <w:rsid w:val="001436FC"/>
    <w:rsid w:val="00146E1B"/>
    <w:rsid w:val="00172D90"/>
    <w:rsid w:val="00175FF1"/>
    <w:rsid w:val="00187E87"/>
    <w:rsid w:val="00193BFE"/>
    <w:rsid w:val="001A0734"/>
    <w:rsid w:val="001B594B"/>
    <w:rsid w:val="001C157B"/>
    <w:rsid w:val="001E12F6"/>
    <w:rsid w:val="001E1E3E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C295F"/>
    <w:rsid w:val="002D2E51"/>
    <w:rsid w:val="002E2FD4"/>
    <w:rsid w:val="00325B57"/>
    <w:rsid w:val="00330EF7"/>
    <w:rsid w:val="00346B4A"/>
    <w:rsid w:val="00347736"/>
    <w:rsid w:val="0036577B"/>
    <w:rsid w:val="00374A3D"/>
    <w:rsid w:val="003879F2"/>
    <w:rsid w:val="003964AD"/>
    <w:rsid w:val="003D1A9A"/>
    <w:rsid w:val="003E4EBF"/>
    <w:rsid w:val="00410A0A"/>
    <w:rsid w:val="00456380"/>
    <w:rsid w:val="00530B8E"/>
    <w:rsid w:val="00553F17"/>
    <w:rsid w:val="00560C42"/>
    <w:rsid w:val="005666AA"/>
    <w:rsid w:val="00567303"/>
    <w:rsid w:val="00583D08"/>
    <w:rsid w:val="005E7FB4"/>
    <w:rsid w:val="006015F2"/>
    <w:rsid w:val="00616F55"/>
    <w:rsid w:val="00657DFA"/>
    <w:rsid w:val="00663437"/>
    <w:rsid w:val="006A5D8D"/>
    <w:rsid w:val="006A6C03"/>
    <w:rsid w:val="006B274E"/>
    <w:rsid w:val="006D78B3"/>
    <w:rsid w:val="006F429B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968E3"/>
    <w:rsid w:val="007A4298"/>
    <w:rsid w:val="007C4E05"/>
    <w:rsid w:val="00800717"/>
    <w:rsid w:val="008151A5"/>
    <w:rsid w:val="00863CF7"/>
    <w:rsid w:val="00865349"/>
    <w:rsid w:val="0088196B"/>
    <w:rsid w:val="008A5DE0"/>
    <w:rsid w:val="009002CF"/>
    <w:rsid w:val="00904277"/>
    <w:rsid w:val="00906985"/>
    <w:rsid w:val="00914C45"/>
    <w:rsid w:val="00927516"/>
    <w:rsid w:val="00A04DED"/>
    <w:rsid w:val="00A16241"/>
    <w:rsid w:val="00A2402F"/>
    <w:rsid w:val="00A31FED"/>
    <w:rsid w:val="00A33397"/>
    <w:rsid w:val="00A62B5E"/>
    <w:rsid w:val="00A7168D"/>
    <w:rsid w:val="00A94DEF"/>
    <w:rsid w:val="00A9772F"/>
    <w:rsid w:val="00AA28D5"/>
    <w:rsid w:val="00AB2C39"/>
    <w:rsid w:val="00AD30E7"/>
    <w:rsid w:val="00AE3E3E"/>
    <w:rsid w:val="00B02768"/>
    <w:rsid w:val="00B410FC"/>
    <w:rsid w:val="00B42A24"/>
    <w:rsid w:val="00B545FC"/>
    <w:rsid w:val="00BA30FC"/>
    <w:rsid w:val="00BD65BB"/>
    <w:rsid w:val="00C0320E"/>
    <w:rsid w:val="00C2219C"/>
    <w:rsid w:val="00C24C90"/>
    <w:rsid w:val="00C56365"/>
    <w:rsid w:val="00C61E15"/>
    <w:rsid w:val="00C7055B"/>
    <w:rsid w:val="00C76EF4"/>
    <w:rsid w:val="00C869FE"/>
    <w:rsid w:val="00CA207B"/>
    <w:rsid w:val="00CB5247"/>
    <w:rsid w:val="00CD726C"/>
    <w:rsid w:val="00CE6D26"/>
    <w:rsid w:val="00D02701"/>
    <w:rsid w:val="00D07928"/>
    <w:rsid w:val="00D12B74"/>
    <w:rsid w:val="00D139FB"/>
    <w:rsid w:val="00D15C82"/>
    <w:rsid w:val="00D51738"/>
    <w:rsid w:val="00D95A58"/>
    <w:rsid w:val="00DD0150"/>
    <w:rsid w:val="00DF4821"/>
    <w:rsid w:val="00DF6878"/>
    <w:rsid w:val="00E22A56"/>
    <w:rsid w:val="00EB1E37"/>
    <w:rsid w:val="00EB4AC5"/>
    <w:rsid w:val="00EB5540"/>
    <w:rsid w:val="00ED208F"/>
    <w:rsid w:val="00EE47FA"/>
    <w:rsid w:val="00F02DC0"/>
    <w:rsid w:val="00F062B6"/>
    <w:rsid w:val="00F10E91"/>
    <w:rsid w:val="00F365A4"/>
    <w:rsid w:val="00F403CF"/>
    <w:rsid w:val="00F424AF"/>
    <w:rsid w:val="00F5386E"/>
    <w:rsid w:val="00F5410C"/>
    <w:rsid w:val="00F84F9A"/>
    <w:rsid w:val="00F96661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2C99F-2C70-46C4-AA85-0FF3F743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</vt:lpstr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UNII EUROPEJSKIEJ – CZ.</dc:title>
  <dc:creator>Ja</dc:creator>
  <cp:lastModifiedBy>Ja</cp:lastModifiedBy>
  <cp:revision>3</cp:revision>
  <dcterms:created xsi:type="dcterms:W3CDTF">2015-10-15T21:07:00Z</dcterms:created>
  <dcterms:modified xsi:type="dcterms:W3CDTF">2015-10-15T21:10:00Z</dcterms:modified>
</cp:coreProperties>
</file>